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EB6" w:rsidRPr="00E77ABB" w:rsidRDefault="00950EB6" w:rsidP="00950EB6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950EB6" w:rsidRDefault="00950EB6" w:rsidP="00950EB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Znak sprawy: IR.271.3.29.2025</w:t>
      </w:r>
    </w:p>
    <w:p w:rsidR="00950EB6" w:rsidRPr="00E77ABB" w:rsidRDefault="00950EB6" w:rsidP="00950EB6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950EB6" w:rsidRPr="00E77ABB" w:rsidRDefault="00950EB6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950EB6" w:rsidRPr="00A159FA" w:rsidRDefault="00950EB6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Hlk145328540"/>
      <w:r w:rsidRPr="00950EB6">
        <w:rPr>
          <w:rFonts w:ascii="Arial" w:hAnsi="Arial" w:cs="Arial"/>
          <w:b/>
          <w:bCs/>
          <w:color w:val="000000"/>
          <w:sz w:val="22"/>
          <w:szCs w:val="22"/>
        </w:rPr>
        <w:t xml:space="preserve">Zakup i montaż automatycznej stacji meteorologicznej wraz z urządzeniem ogródka meteorologicznego w ramach programu ,,Wsparcie systemu Monitoringu Suszy Rolniczej’’ w miejscowości </w:t>
      </w:r>
      <w:bookmarkEnd w:id="0"/>
      <w:r w:rsidRPr="00950EB6">
        <w:rPr>
          <w:rFonts w:ascii="Arial" w:hAnsi="Arial" w:cs="Arial"/>
          <w:b/>
          <w:bCs/>
          <w:color w:val="000000"/>
          <w:sz w:val="22"/>
          <w:szCs w:val="22"/>
        </w:rPr>
        <w:t>Dąbrowa Wielka</w:t>
      </w:r>
    </w:p>
    <w:p w:rsidR="00950EB6" w:rsidRPr="007C1D05" w:rsidRDefault="00950EB6" w:rsidP="00950EB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EB6" w:rsidRDefault="00950EB6" w:rsidP="00950EB6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950EB6" w:rsidRPr="006532DA" w:rsidRDefault="00950EB6" w:rsidP="00950EB6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950EB6" w:rsidRDefault="00950EB6" w:rsidP="00950EB6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950EB6" w:rsidRDefault="00950EB6" w:rsidP="00950EB6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Osoba odpowiedzialna za kontakty z Zamawiającym: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2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t xml:space="preserve">Rodzaj Wykonawcy:  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950EB6" w:rsidRPr="007D6578" w:rsidRDefault="00950EB6" w:rsidP="00950EB6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950EB6" w:rsidRPr="007D6578" w:rsidRDefault="00950EB6" w:rsidP="00950EB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7D6578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Pr="00950EB6">
        <w:rPr>
          <w:rFonts w:ascii="Arial" w:hAnsi="Arial" w:cs="Arial"/>
          <w:b/>
          <w:bCs/>
          <w:sz w:val="22"/>
          <w:szCs w:val="22"/>
          <w:lang w:eastAsia="ar-SA"/>
        </w:rPr>
        <w:t>Zakup i montaż automatycznej stacji meteorologicznej wraz z urządzeniem ogródka meteorologicznego w ramach programu ,,Wsparcie systemu Monitoringu Suszy Rolniczej’’ w miejscowości Dąbrowa Wielka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950EB6" w:rsidRPr="00E77ABB" w:rsidRDefault="00950EB6" w:rsidP="00950EB6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950EB6" w:rsidRPr="00347FEA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lastRenderedPageBreak/>
        <w:t xml:space="preserve">Oferujemy wykonanie przedmiotu zamówienia w zakresie objętym </w:t>
      </w:r>
      <w:r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</w:t>
      </w:r>
      <w:r w:rsidR="00E2476A">
        <w:rPr>
          <w:rFonts w:ascii="Arial" w:hAnsi="Arial"/>
          <w:color w:val="000000"/>
          <w:sz w:val="22"/>
          <w:szCs w:val="20"/>
        </w:rPr>
        <w:t xml:space="preserve"> i zgodnego z załącznikiem Nr 1 do niniejszej oferty</w:t>
      </w:r>
      <w:r w:rsidRPr="00347FEA">
        <w:rPr>
          <w:rFonts w:ascii="Arial" w:hAnsi="Arial"/>
          <w:color w:val="000000"/>
          <w:sz w:val="22"/>
          <w:szCs w:val="20"/>
        </w:rPr>
        <w:t>:</w:t>
      </w:r>
    </w:p>
    <w:p w:rsidR="00950EB6" w:rsidRPr="00347FEA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Pr="00E77ABB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Pr="00E77ABB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>
        <w:rPr>
          <w:rFonts w:ascii="Arial" w:hAnsi="Arial"/>
          <w:sz w:val="22"/>
          <w:szCs w:val="20"/>
        </w:rPr>
        <w:t xml:space="preserve">23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765782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7F7D90" w:rsidRDefault="00950EB6" w:rsidP="00950EB6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950EB6" w:rsidRPr="007F7D90" w:rsidRDefault="00950EB6" w:rsidP="00950EB6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950EB6" w:rsidRPr="007F7D90" w:rsidRDefault="00950EB6" w:rsidP="00950EB6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9125A1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>
        <w:rPr>
          <w:rFonts w:ascii="Arial" w:hAnsi="Arial"/>
          <w:color w:val="000000"/>
          <w:sz w:val="22"/>
          <w:szCs w:val="20"/>
        </w:rPr>
        <w:t xml:space="preserve"> </w:t>
      </w:r>
      <w:r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Pr="009125A1">
        <w:rPr>
          <w:rFonts w:ascii="Arial" w:hAnsi="Arial"/>
          <w:sz w:val="22"/>
          <w:szCs w:val="20"/>
        </w:rPr>
        <w:t xml:space="preserve">dnia </w:t>
      </w:r>
      <w:r>
        <w:rPr>
          <w:rFonts w:ascii="Arial" w:hAnsi="Arial"/>
          <w:sz w:val="22"/>
          <w:szCs w:val="20"/>
        </w:rPr>
        <w:t>30 grudnia</w:t>
      </w:r>
      <w:r w:rsidRPr="009125A1">
        <w:rPr>
          <w:rFonts w:ascii="Arial" w:hAnsi="Arial"/>
          <w:sz w:val="22"/>
          <w:szCs w:val="20"/>
        </w:rPr>
        <w:t xml:space="preserve"> 2025r. </w:t>
      </w: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E77ABB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>
        <w:rPr>
          <w:rFonts w:ascii="Arial" w:hAnsi="Arial"/>
          <w:color w:val="000000"/>
          <w:sz w:val="22"/>
          <w:szCs w:val="20"/>
        </w:rPr>
        <w:t xml:space="preserve">dczamy, że zapoznaliśmy się z 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950EB6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E77ABB" w:rsidRDefault="00950EB6" w:rsidP="00950EB6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950EB6" w:rsidRDefault="00950EB6" w:rsidP="00950EB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196845" w:rsidRDefault="00950EB6" w:rsidP="00950EB6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lastRenderedPageBreak/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950EB6" w:rsidRPr="00E77ABB" w:rsidRDefault="00950EB6" w:rsidP="00950EB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950EB6" w:rsidRPr="007B3D4D" w:rsidTr="00C33833">
        <w:tc>
          <w:tcPr>
            <w:tcW w:w="720" w:type="dxa"/>
          </w:tcPr>
          <w:p w:rsidR="00950EB6" w:rsidRPr="007B3D4D" w:rsidRDefault="00950EB6" w:rsidP="00C33833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950EB6" w:rsidRPr="007B3D4D" w:rsidRDefault="00950EB6" w:rsidP="00C33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950EB6" w:rsidRPr="007B3D4D" w:rsidRDefault="00950EB6" w:rsidP="00C3383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 (jeśli jest znany)</w:t>
            </w:r>
          </w:p>
        </w:tc>
      </w:tr>
      <w:tr w:rsidR="00950EB6" w:rsidRPr="00E77ABB" w:rsidTr="00C33833">
        <w:tc>
          <w:tcPr>
            <w:tcW w:w="720" w:type="dxa"/>
          </w:tcPr>
          <w:p w:rsidR="00950EB6" w:rsidRPr="00E77ABB" w:rsidRDefault="00950EB6" w:rsidP="00C33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950EB6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0EB6" w:rsidRPr="00E77ABB" w:rsidTr="00C33833">
        <w:tc>
          <w:tcPr>
            <w:tcW w:w="720" w:type="dxa"/>
          </w:tcPr>
          <w:p w:rsidR="00950EB6" w:rsidRPr="00E77ABB" w:rsidRDefault="00950EB6" w:rsidP="00C338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950EB6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950EB6" w:rsidRPr="00E77ABB" w:rsidRDefault="00950EB6" w:rsidP="00C3383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0EB6" w:rsidRPr="00E77ABB" w:rsidRDefault="00950EB6" w:rsidP="00950EB6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E77ABB" w:rsidRDefault="00950EB6" w:rsidP="00950EB6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950EB6" w:rsidRPr="00E77ABB" w:rsidRDefault="00950EB6" w:rsidP="00950EB6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E77ABB" w:rsidRDefault="00950EB6" w:rsidP="00950EB6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Pr="00E77ABB" w:rsidRDefault="00950EB6" w:rsidP="00950EB6">
      <w:pPr>
        <w:widowControl w:val="0"/>
        <w:numPr>
          <w:ilvl w:val="0"/>
          <w:numId w:val="2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950EB6" w:rsidRPr="00E77ABB" w:rsidRDefault="00950EB6" w:rsidP="00950EB6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950EB6" w:rsidRPr="00E77ABB" w:rsidRDefault="00950EB6" w:rsidP="00950EB6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50EB6" w:rsidRPr="00E77ABB" w:rsidRDefault="00950EB6" w:rsidP="00950EB6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950EB6" w:rsidRPr="00E77ABB" w:rsidRDefault="00950EB6" w:rsidP="00950EB6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950EB6" w:rsidRPr="00E77ABB" w:rsidRDefault="00950EB6" w:rsidP="00950EB6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86041E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50EB6" w:rsidRPr="0086041E" w:rsidRDefault="00950EB6" w:rsidP="00950EB6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50EB6" w:rsidRPr="0086041E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950EB6" w:rsidRDefault="00950EB6" w:rsidP="00950EB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950EB6" w:rsidRPr="00F623E6" w:rsidRDefault="00950EB6" w:rsidP="00950EB6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950EB6" w:rsidRPr="00F623E6" w:rsidRDefault="00950EB6" w:rsidP="00950EB6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950EB6" w:rsidRPr="00B74DEF" w:rsidRDefault="00950EB6" w:rsidP="00950EB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E2476A" w:rsidRDefault="00E2476A">
      <w:r>
        <w:br w:type="page"/>
      </w:r>
    </w:p>
    <w:p w:rsidR="00DF7469" w:rsidRDefault="00E2476A" w:rsidP="00E2476A">
      <w:pPr>
        <w:jc w:val="right"/>
        <w:rPr>
          <w:rFonts w:ascii="Arial" w:hAnsi="Arial" w:cs="Arial"/>
          <w:sz w:val="22"/>
          <w:szCs w:val="22"/>
        </w:rPr>
      </w:pPr>
      <w:r w:rsidRPr="00E2476A">
        <w:rPr>
          <w:rFonts w:ascii="Arial" w:hAnsi="Arial" w:cs="Arial"/>
          <w:sz w:val="22"/>
          <w:szCs w:val="22"/>
        </w:rPr>
        <w:lastRenderedPageBreak/>
        <w:t xml:space="preserve">Załącznik Nr 1 do formularza oferty </w:t>
      </w:r>
    </w:p>
    <w:p w:rsidR="00E2476A" w:rsidRDefault="00E2476A" w:rsidP="00E2476A">
      <w:pPr>
        <w:rPr>
          <w:rFonts w:ascii="Arial" w:hAnsi="Arial" w:cs="Arial"/>
          <w:sz w:val="22"/>
          <w:szCs w:val="22"/>
        </w:rPr>
      </w:pPr>
    </w:p>
    <w:tbl>
      <w:tblPr>
        <w:tblW w:w="105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268"/>
        <w:gridCol w:w="3619"/>
      </w:tblGrid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shd w:val="clear" w:color="auto" w:fill="E0E0E0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111" w:type="dxa"/>
            <w:shd w:val="clear" w:color="auto" w:fill="E0E0E0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sz w:val="20"/>
                <w:szCs w:val="20"/>
              </w:rPr>
              <w:t>PARAMETRY WYMAGANE</w:t>
            </w:r>
          </w:p>
        </w:tc>
        <w:tc>
          <w:tcPr>
            <w:tcW w:w="2268" w:type="dxa"/>
            <w:shd w:val="clear" w:color="auto" w:fill="E0E0E0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sz w:val="20"/>
                <w:szCs w:val="20"/>
              </w:rPr>
              <w:t>Wartości wymagane TAK/NIE</w:t>
            </w:r>
          </w:p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sz w:val="20"/>
                <w:szCs w:val="20"/>
              </w:rPr>
              <w:t>(podać)</w:t>
            </w:r>
          </w:p>
        </w:tc>
        <w:tc>
          <w:tcPr>
            <w:tcW w:w="3619" w:type="dxa"/>
            <w:shd w:val="clear" w:color="auto" w:fill="E0E0E0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sz w:val="20"/>
                <w:szCs w:val="20"/>
              </w:rPr>
              <w:t>Opis, typ urządzenia (czujnika), dołączyć kartę katalogową lub opis</w:t>
            </w:r>
          </w:p>
          <w:p w:rsidR="00E2476A" w:rsidRPr="00E2476A" w:rsidRDefault="00E2476A" w:rsidP="00E247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3619" w:type="dxa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565" w:type="dxa"/>
            <w:gridSpan w:val="4"/>
            <w:shd w:val="clear" w:color="auto" w:fill="E0E0E0"/>
          </w:tcPr>
          <w:p w:rsidR="00E2476A" w:rsidRPr="00E2476A" w:rsidRDefault="00E2476A" w:rsidP="00E2476A">
            <w:pPr>
              <w:keepNext/>
              <w:numPr>
                <w:ilvl w:val="0"/>
                <w:numId w:val="5"/>
              </w:numPr>
              <w:tabs>
                <w:tab w:val="num" w:pos="2345"/>
              </w:tabs>
              <w:ind w:left="0" w:firstLine="0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Parametry ogólne</w:t>
            </w: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Datalogger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z wielowątkowym systemem operacyjnym z wbudowaną pamięcią wewnętrzną danych min. 3 GB FLASH (nie w postaci karty SD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itp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), konfiguracja wejść pomiarowych: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min. 3 wejść analogowych uniwersalnych 0..20mV do 0..2V lub 4..20mA,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min. 2 wejścia bezpośrednie Pt l00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min. 4 wejścia impulsowe - licznikowe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min. 1 złącze RS485 do obsługi oddalonych czujników (rozszerzenia zestawu czujników)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min. 1 złącze RS485 lub RS232 do obsługi oddalonych czujników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możliwość podłączenia sondy wilgotności gleby THETA (6 sygnałów napięciowych 0..1V), z pozostawieniem wolnych minimum dwóch wejść analogowych uniwersalnych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złącza komunikacyjne: min. ETHERNET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wbudowane mechanizmy obsługi LAN, modemu 3G/LTE,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wbudowany stos protokołów TCP/IP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temperatura pracy: -40..+85 °C bez dodatkowego podgrzewania,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Oprogramowanie pomiarowe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częstotliwość próbkowania lepsza niż 2 s,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częstotliwość zapisu od  2 s. do 24 godz.,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możliwość zapisu każdego parametru z innym cyklem pomiarowym,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autodiagnostyka wewnętrzna oraz podłączonych czujników cyfrowych oraz analogowych.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tworzenie czujników wirtualnych na podstawie odczytów chwilowych (próbkowania) - np. wartości średnie, minimalne, maksymalne, suma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 tworzenie czujników wirtualnych na podstawie odczytów chwilowych za pomocą dowolnych wyrażeń arytmetycznych.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 buforowanie danych w zasobach pamięci dyskowej FLASH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na wypadek braku łącza internetowego do serwera (min. 3 miesiące buforowania danych), automatyczne wysyłanie zaległych danych po przywróceniu łącza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 możliwość bezpośredniego pobrania danych z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na zewnętrzny komputer np. w przypadku długotrwałej awarii łącza internetowego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lastRenderedPageBreak/>
              <w:t>•   możliwość podłączenia do 8 dodatkowych czujników temperatury Pt100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 ilekroć w opisie widnieje sformułowanie „możliwość” – oznacza to że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może realizować te funkcje samodzielnie lub w zestawie z dodatkowymi modułami rozszerzającymi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 Wbudowany serwer HTTP ze stroną WWW prezentującą bieżące pomiary i stan urządzenia. Dostęp do strony po podłączeniu do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kablem ETH lub zdalnie przez zainstalowany modem GSM/LTE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 Zdalny odczyt/zapis konfiguracji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, w tym m.in. zestawienia czujników, częstotliwości próbkowania, liczonych agregacji, okresów agregacji.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Szafa z tworzywa sztucznego wysokoudarowego, stopień szczelności IP66, do zabudowy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i niezbędnych akcesoriów pomiarowych do zasilania z baterii słonecznej (opcjonalnie 230V), wstawienia buforu akumulatorowego, wyposażona w ochronę przepięciową kat. B+C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Maszt o wysokości min. 10m, konstrukcja lekka z odciągami, do zamocowania wiatromierza oraz szafy i  baterii słonecznej, masa i konstrukcja umożliwiająca ręczne opuszczanie do pozycji dostępnej z ziemi w celu serwisowania przyrządów. Montaż bez użycia sprzętu mechanicznego.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Zestaw zasilający stację meteorologiczną zapewniający całoroczne użytkowanie stacji w postaci panelu fotowoltaicznego o mocy min. 150W@1000W/m2, oraz odpowiedniego bufora akumulatorowego zapewniającego pracę stacji przynajmniej przez 100 godzin w czasie braku ładowania. 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Wiatromierz do pomiaru kierunku i prędkości wiatru, zespolony, mechaniczny, prędkość startu pomiaru prędkości: &lt;=0.5 m/s, wbudowane zabezpieczenia przepięciowe, podłączenie kablem transmisji szeregowej RS485 protokołem MODBUS-RTU lub sygnał analogowy, dokładność pomiaru prędkości min. 4% dla v&gt;1 m/s, pomiaru kierunku bez strefy martwej, rozdzielczość min. 1/64 kąta pełnego. Montaż na wysokości 10m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npg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 temperatury i wilgotności powietrza,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Pomiar temperatury: rodzaj elementu - Pt100, zakres temp.          -40 do 60°C, dokładność pomiaru +/- 0,1 °C – klasa 1/3B wg. PN-EN-60751 (IEC-751), wyjście: podłączenie 4</w:t>
            </w:r>
            <w:r w:rsidRPr="00E2476A">
              <w:rPr>
                <w:rFonts w:ascii="Arial" w:hAnsi="Arial" w:cs="Arial"/>
                <w:sz w:val="20"/>
                <w:szCs w:val="20"/>
              </w:rPr>
              <w:noBreakHyphen/>
              <w:t>przewodowe elementu Pt100,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lastRenderedPageBreak/>
              <w:t xml:space="preserve">Pomiar wilgotności: zakres wilgotności mierzonej 0-100 (%), dokładność ± 1% RH (0..90% RH), ± 2% RH (90.. 100% RH) @20 °C, wyjście napięciowe – </w:t>
            </w:r>
            <w:r w:rsidRPr="00E2476A">
              <w:rPr>
                <w:rFonts w:ascii="Arial" w:hAnsi="Arial" w:cs="Arial"/>
                <w:b/>
                <w:sz w:val="20"/>
                <w:szCs w:val="20"/>
              </w:rPr>
              <w:t>szt. 1</w:t>
            </w:r>
            <w:r w:rsidRPr="00E24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Montaż na wysokości 2m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npg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Osłona antyradiacyjna do czujnika temperatury i wilgotności, z tworzywa termoformowanego lub epoksydowego, kształt walcowy, z ramieniem mocującym i uniwersalnym uchwytem do czujnika </w:t>
            </w:r>
            <w:r w:rsidRPr="00E2476A">
              <w:rPr>
                <w:rFonts w:ascii="Arial" w:hAnsi="Arial" w:cs="Arial"/>
                <w:b/>
                <w:sz w:val="20"/>
                <w:szCs w:val="20"/>
              </w:rPr>
              <w:t>szt. 1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 temperatury powietrza (bis): pt100, dokładność 0,1 °C     -klasa 1/3B wg. PN-EN-60751 (IEC-751), kabel odporny na UV oraz warunki środowiskowe umożliwiający montaż w powietrzu bez dodatkowej ochrony, długość min. 2m wyjście: podłączenie 4 przewodowe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Montaż na wysokości 2m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npg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 temperatury przygruntowej,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typu Pt 100, dokładność 0,1 °C - klasa 1/3B wg. PN-EN-60751 (IEC-751), </w:t>
            </w:r>
            <w:bookmarkStart w:id="2" w:name="OLE_LINK1"/>
            <w:bookmarkStart w:id="3" w:name="OLE_LINK2"/>
            <w:r w:rsidRPr="00E2476A">
              <w:rPr>
                <w:rFonts w:ascii="Arial" w:hAnsi="Arial" w:cs="Arial"/>
                <w:sz w:val="20"/>
                <w:szCs w:val="20"/>
              </w:rPr>
              <w:t>kabel odporny na UV oraz warunki środowiskowe umożliwiający montaż w ziemi bez dodatkowej ochrony, długość min. 8m</w:t>
            </w:r>
            <w:bookmarkEnd w:id="2"/>
            <w:bookmarkEnd w:id="3"/>
            <w:r w:rsidRPr="00E2476A">
              <w:rPr>
                <w:rFonts w:ascii="Arial" w:hAnsi="Arial" w:cs="Arial"/>
                <w:sz w:val="20"/>
                <w:szCs w:val="20"/>
              </w:rPr>
              <w:t xml:space="preserve"> wyjście: podłączenie 4 przewodowe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Montaż na wysokości 5 cm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npg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Osłona antyradiacyjna do czujnika temperatury przygruntowej, z tworzywa termoformowanego lub epoksydowego, kształt walcowy, z uchwytem czujnika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Czujniki temperatury gleby, typu Pt 100, dokładność 0,1 °C – klasa 1/3B wg. PN-EN-60751 (IEC-751), kabel odporny na UV oraz warunki środowiskowe umożliwiający montaż w ziemi bez dodatkowej ochrony, długość min. 8m wyjście: podłączenie 4 przewodowe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Montaż na głębokości 10 cm 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Deszczomierz całoroczny korytkowy, nieogrzewany, apertura 200 cm2, pracujący w zakresie temperatur od 0 °C (wielkość opadu z rozdzielczością  0,1 mm). Montaż w gruncie, tak aby pierścień zbiorczy znajdował się na wysokości 1 m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npg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.  – </w:t>
            </w:r>
            <w:proofErr w:type="spellStart"/>
            <w:r w:rsidRPr="00E2476A">
              <w:rPr>
                <w:rFonts w:ascii="Arial" w:hAnsi="Arial" w:cs="Arial"/>
                <w:b/>
                <w:sz w:val="20"/>
                <w:szCs w:val="20"/>
              </w:rPr>
              <w:t>szt</w:t>
            </w:r>
            <w:proofErr w:type="spellEnd"/>
            <w:r w:rsidRPr="00E2476A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Transfer danych (źródło):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</w:t>
            </w:r>
            <w:r w:rsidRPr="00E2476A">
              <w:rPr>
                <w:rFonts w:ascii="Arial" w:hAnsi="Arial" w:cs="Arial"/>
                <w:sz w:val="20"/>
                <w:szCs w:val="20"/>
              </w:rPr>
              <w:tab/>
              <w:t>Kanał podstawowy: modem LTE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</w:t>
            </w:r>
            <w:r w:rsidRPr="00E2476A">
              <w:rPr>
                <w:rFonts w:ascii="Arial" w:hAnsi="Arial" w:cs="Arial"/>
                <w:sz w:val="20"/>
                <w:szCs w:val="20"/>
              </w:rPr>
              <w:tab/>
              <w:t>Kanał lokalny: Ethernet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Przeznaczenie danych: serwer IUNG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Oprogramowanie do obsługi stacji i do transmisji danych przez moduł LTE, skonfigurowanie połączenia do serwera danych IUNG: w</w:t>
            </w:r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t xml:space="preserve">ykonawca zapewni (skonfiguruje) bezpośredni transfer danych z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stacji pomiarowej wyposażonej w </w:t>
            </w:r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modem LTE do bazy danych serwera Zamawiającego (podłączonego do publicznej sieci internetowej). Transfer danych z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na serwer powinien odbywać się co 10-15 min. Dla bezpieczeństwa danych - nie dopuszcza się transferu danych ze stacji pomiarowej do serwera IUNG za pośrednictwem innego serwera.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Modyfikacja aplikacji serwerowej udostępniającej dane przez Internet - dopisanie stacji pomiarowych będących przedmiotem zamówienia, do aplikacji www na serwerze Zamawiającego, wizualizowanych wspólnie ze stacjami dotychczas eksploatowanymi przez Zamawiającego.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Ogrodzenie stacji z elementów prefabrykowanych ocynkowanych, wysokość 170 cm, furtka z zamknięciem.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Wymiary ogródka meteorologicznego min. 7,5m x 7,5m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Czujnik usłonecznienia o parametrach: zakres spektralny 360-1100nm, promieniowanie bezpośrednie 0-2000W/m2, dokładność pomiaru usłonecznienia &lt; 90%/miesiąc, wyposażenie w element grzejny w celu zapobiegania tworzeniu się skroplin na powierzchni szkła + wyjście analogowe + moduł umożliwiający połączenie do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dataloggera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opisanego w  pkt 1.1.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Sonda profilowa wilgotności gleby z 6-kanałowym wyjściem analogowym, 6-poziomowa 0-100%VWC, poziomy: 10, 20, 30, 40, 60, 100 cm, dokładność pomiaru +/-4% VWC + moduł umożliwiający połączenie do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dataloggera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opisanego w  pkt 1.1.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Czujnik zwilżenia liścia z zakresem pomiaru od 0 do 15 (dokładność &lt; 0,5) + wyjście analogowe z możliwością podłączenia do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dataloggera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opisanego w  pkt 1.1.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 pomiaru ilości i intensywności opadu z rozróżnieniem rodzaju (deszcz, grad) działający na bazie piezoelementu. Parametry wymagane: pole zbierające 60 cm2, rozdzielczość pomiaru opadu 0.01mm, rozdzielczość pomiaru intensywności opadu 0.1mm/h, rozdzielczość pomiaru gradu 0.1 uderzenia/cm2, rozdzielczość pomiaru intensywności gradu 0.1 uderzenia/cm2/h. Zasilanie 6..24V, wbudowane ogrzewanie, komunikacja: RS485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10565" w:type="dxa"/>
            <w:gridSpan w:val="4"/>
            <w:shd w:val="clear" w:color="auto" w:fill="D9D9D9"/>
            <w:vAlign w:val="center"/>
          </w:tcPr>
          <w:p w:rsidR="00E2476A" w:rsidRPr="00E2476A" w:rsidRDefault="00E2476A" w:rsidP="00E2476A">
            <w:pPr>
              <w:keepNext/>
              <w:numPr>
                <w:ilvl w:val="0"/>
                <w:numId w:val="5"/>
              </w:numPr>
              <w:tabs>
                <w:tab w:val="num" w:pos="2345"/>
              </w:tabs>
              <w:ind w:left="0" w:firstLine="0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Program pomiarowy stacji meteorologicznej</w:t>
            </w: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Parametry środowiskowe mierzone są przez czujniki pomiarowe, wymienione w pkt. 1.5 – </w:t>
            </w:r>
            <w:r w:rsidRPr="00E2476A">
              <w:rPr>
                <w:rFonts w:ascii="Arial" w:hAnsi="Arial" w:cs="Arial"/>
                <w:sz w:val="20"/>
                <w:szCs w:val="20"/>
              </w:rPr>
              <w:lastRenderedPageBreak/>
              <w:t xml:space="preserve">1.14  podłączone kablami do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loggera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pomiarowego (pkt. 1.1).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Podstawowym cyklem pomiarowym jest 10 minut z wyjątkiem deszczomierzy, pracujących w cyklu 1-minutowym.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Czujniki są próbkowane w sposób ciągły nie rzadziej niż co 3 sekundy. Próbki te są używane do wyznaczania wartości minimalnych, maksymalnych i średnich w danym cyklu pomiarowym (min. 200 próbek w cyklu pomiarowym). Wyliczenie wartości agregacji z zebranych próbek zgodnie z wytycznymi WMO.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Wynikowe parametry mierzone lub wyliczane przez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logger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za okres pomiarowy, wysyłane do serwera: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Suma opadu z deszczomierza 1 oraz 2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Wilgotność względna powietrza na wysokości 200 cm – chwilowa,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Temperatura powietrza na wysokości 200 cm – chwilowa,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Temperatura powietrza (czujnik „bis”) na wysokości 200 cm – chwilowa,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Temperatura powietrza na wysokości 5 cm – </w:t>
            </w:r>
            <w:bookmarkStart w:id="4" w:name="OLE_LINK3"/>
            <w:bookmarkStart w:id="5" w:name="OLE_LINK4"/>
            <w:r w:rsidRPr="00E2476A">
              <w:rPr>
                <w:rFonts w:ascii="Arial" w:hAnsi="Arial" w:cs="Arial"/>
                <w:sz w:val="20"/>
                <w:szCs w:val="20"/>
              </w:rPr>
              <w:t>chwilowa</w:t>
            </w:r>
            <w:bookmarkEnd w:id="4"/>
            <w:bookmarkEnd w:id="5"/>
            <w:r w:rsidRPr="00E2476A">
              <w:rPr>
                <w:rFonts w:ascii="Arial" w:hAnsi="Arial" w:cs="Arial"/>
                <w:sz w:val="20"/>
                <w:szCs w:val="20"/>
              </w:rPr>
              <w:t>,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Temperatura gruntu na głębokości 10 cm – chwilowa,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Prędkość wiatru – średnia, minimalna, maksymalna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Kierunek wiatru – średni, uśrednianie kierunku – wektorowe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 Napięcie zasilania (napięcie akumulatora buforującego) – wartość chwilowa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Usłonecznienie – suma czasu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Wilgotność gleby – wskazanie chwilowe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Zwilżenie liścia - wskazanie chwilowe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 Intensywność i rodzaj opadu – wskazanie chwilowe: intensywność mm/h, rodzaj opadu: suchość, deszcz, grad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10565" w:type="dxa"/>
            <w:gridSpan w:val="4"/>
            <w:shd w:val="clear" w:color="auto" w:fill="D9D9D9"/>
            <w:vAlign w:val="center"/>
          </w:tcPr>
          <w:p w:rsidR="00E2476A" w:rsidRPr="00E2476A" w:rsidRDefault="00E2476A" w:rsidP="00E2476A">
            <w:pPr>
              <w:keepNext/>
              <w:numPr>
                <w:ilvl w:val="0"/>
                <w:numId w:val="5"/>
              </w:numPr>
              <w:tabs>
                <w:tab w:val="num" w:pos="2345"/>
              </w:tabs>
              <w:ind w:left="0" w:firstLine="0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Wymagania dotyczące montażu i ekspozycji czujników</w:t>
            </w: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Jeżeli Zamawiający nie określi inaczej, obowiązują wytyczne montażu i ekspozycji czujników określone przez WMO oraz IMGW, szczególnie w dokumencie: „Guide to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Meteorological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Instruments and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Observation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 xml:space="preserve">” 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Przed przystąpieniem do montażu Wykonawca przedstawi Zamawiającemu do akceptacji projekt (opis) zagospodarowania ogródka meteorologicznego oraz sposobu instalacji czujników. Zamawiający w ciągu 3 </w:t>
            </w:r>
            <w:r w:rsidRPr="00E2476A">
              <w:rPr>
                <w:rFonts w:ascii="Arial" w:hAnsi="Arial" w:cs="Arial"/>
                <w:sz w:val="20"/>
                <w:szCs w:val="20"/>
              </w:rPr>
              <w:lastRenderedPageBreak/>
              <w:t>dni roboczych dokona akceptacji projektu lub zażąda wprowadzenia zmian.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10565" w:type="dxa"/>
            <w:gridSpan w:val="4"/>
            <w:shd w:val="clear" w:color="auto" w:fill="D9D9D9"/>
            <w:vAlign w:val="center"/>
          </w:tcPr>
          <w:p w:rsidR="00E2476A" w:rsidRPr="00E2476A" w:rsidRDefault="00E2476A" w:rsidP="00E2476A">
            <w:pPr>
              <w:keepNext/>
              <w:numPr>
                <w:ilvl w:val="0"/>
                <w:numId w:val="5"/>
              </w:numPr>
              <w:tabs>
                <w:tab w:val="num" w:pos="2345"/>
              </w:tabs>
              <w:ind w:left="0" w:firstLine="0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2476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Uwagi</w:t>
            </w:r>
          </w:p>
        </w:tc>
      </w:tr>
      <w:tr w:rsidR="00E2476A" w:rsidRPr="00E2476A" w:rsidTr="00E2476A">
        <w:tblPrEx>
          <w:tblCellMar>
            <w:top w:w="0" w:type="dxa"/>
            <w:bottom w:w="0" w:type="dxa"/>
          </w:tblCellMar>
        </w:tblPrEx>
        <w:tc>
          <w:tcPr>
            <w:tcW w:w="567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Czujniki muszą pochodzić od pierwotnego producenta (country of </w:t>
            </w:r>
            <w:proofErr w:type="spellStart"/>
            <w:r w:rsidRPr="00E2476A">
              <w:rPr>
                <w:rFonts w:ascii="Arial" w:hAnsi="Arial" w:cs="Arial"/>
                <w:sz w:val="20"/>
                <w:szCs w:val="20"/>
              </w:rPr>
              <w:t>origin</w:t>
            </w:r>
            <w:proofErr w:type="spellEnd"/>
            <w:r w:rsidRPr="00E2476A">
              <w:rPr>
                <w:rFonts w:ascii="Arial" w:hAnsi="Arial" w:cs="Arial"/>
                <w:sz w:val="20"/>
                <w:szCs w:val="20"/>
              </w:rPr>
              <w:t>) mającego siedzibę na terytorium państwa należącego do grupy OECD.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Czujniki temperatury i wilgotności oraz samej temperatury muszą posiadać indywidualne świadectwa wzorcowania wystawione przez laboratorium producenta lub akredytowane polskie laboratorium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Każda dana pomiarowa musi być pozyskiwana bezpośrednio z fizycznego czujnika dedykowanego dla danego parametru, nie dopuszcza się wyliczania danej z innego pokrewnego czujnika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Wszystkie elementy pomiarowe (z wyjątkiem czujników), moduły zasilające i akumulator buforujący muszą być umieszczone w jednej szafie opisanej w pkt 1.2. 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>• połączenia kabli w szafie powinny był wykonywane w sposób umożliwiający ich łatwe rozłączenie do celów serwisowych, z użyciem złączek szynowych, nie dopuszcza się łączenia kabli „w powietrzu”</w:t>
            </w:r>
          </w:p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  <w:r w:rsidRPr="00E2476A">
              <w:rPr>
                <w:rFonts w:ascii="Arial" w:hAnsi="Arial" w:cs="Arial"/>
                <w:sz w:val="20"/>
                <w:szCs w:val="20"/>
              </w:rPr>
              <w:t xml:space="preserve">• szafa powinna być wyposażona w główny bezpiecznik topikowy chroniący całość elektroniki, umożliwiający również wyłączenie zasilania do wszystkich komponentów np. w celu resetu stacji. </w:t>
            </w:r>
          </w:p>
        </w:tc>
        <w:tc>
          <w:tcPr>
            <w:tcW w:w="2268" w:type="dxa"/>
            <w:vAlign w:val="center"/>
          </w:tcPr>
          <w:p w:rsidR="00E2476A" w:rsidRPr="00E2476A" w:rsidRDefault="00E2476A" w:rsidP="00E247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19" w:type="dxa"/>
          </w:tcPr>
          <w:p w:rsidR="00E2476A" w:rsidRPr="00E2476A" w:rsidRDefault="00E2476A" w:rsidP="00E247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476A" w:rsidRPr="00E2476A" w:rsidRDefault="00E2476A" w:rsidP="00E2476A">
      <w:pPr>
        <w:jc w:val="right"/>
        <w:rPr>
          <w:rFonts w:ascii="Arial" w:hAnsi="Arial" w:cs="Arial"/>
          <w:sz w:val="22"/>
          <w:szCs w:val="22"/>
        </w:rPr>
      </w:pPr>
    </w:p>
    <w:sectPr w:rsidR="00E2476A" w:rsidRPr="00E2476A" w:rsidSect="00665A2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52D" w:rsidRDefault="007D752D" w:rsidP="00665A20">
      <w:r>
        <w:separator/>
      </w:r>
    </w:p>
  </w:endnote>
  <w:endnote w:type="continuationSeparator" w:id="0">
    <w:p w:rsidR="007D752D" w:rsidRDefault="007D752D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7D752D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E2476A">
          <w:rPr>
            <w:rFonts w:ascii="Arial" w:hAnsi="Arial" w:cs="Arial"/>
            <w:noProof/>
            <w:sz w:val="16"/>
            <w:szCs w:val="16"/>
          </w:rPr>
          <w:t>5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52D" w:rsidRDefault="007D752D" w:rsidP="00665A20">
      <w:r>
        <w:separator/>
      </w:r>
    </w:p>
  </w:footnote>
  <w:footnote w:type="continuationSeparator" w:id="0">
    <w:p w:rsidR="007D752D" w:rsidRDefault="007D752D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  <w:sz w:val="22"/>
        <w:szCs w:val="22"/>
      </w:rPr>
      <w:drawing>
        <wp:inline distT="0" distB="0" distL="0" distR="0" wp14:anchorId="76BA35C1">
          <wp:extent cx="3152140" cy="719455"/>
          <wp:effectExtent l="0" t="0" r="0" b="444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214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39B1" w:rsidRDefault="00E039B1" w:rsidP="00E039B1">
    <w:pPr>
      <w:pStyle w:val="Nagwek"/>
      <w:jc w:val="right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87145"/>
    <w:multiLevelType w:val="multilevel"/>
    <w:tmpl w:val="A9CC9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47"/>
        </w:tabs>
        <w:ind w:left="1047" w:hanging="69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  <w:u w:val="none"/>
      </w:rPr>
    </w:lvl>
    <w:lvl w:ilvl="3">
      <w:start w:val="1"/>
      <w:numFmt w:val="none"/>
      <w:pStyle w:val="Nagwek4"/>
      <w:isLgl/>
      <w:lvlText w:val=""/>
      <w:lvlJc w:val="left"/>
      <w:pPr>
        <w:tabs>
          <w:tab w:val="num" w:pos="1791"/>
        </w:tabs>
        <w:ind w:left="1791" w:hanging="720"/>
      </w:pPr>
      <w:rPr>
        <w:rFonts w:hint="default"/>
        <w:b/>
        <w:u w:val="none"/>
      </w:rPr>
    </w:lvl>
    <w:lvl w:ilvl="4">
      <w:start w:val="1"/>
      <w:numFmt w:val="none"/>
      <w:pStyle w:val="Nagwek5"/>
      <w:isLgl/>
      <w:lvlText w:val=""/>
      <w:lvlJc w:val="left"/>
      <w:pPr>
        <w:tabs>
          <w:tab w:val="num" w:pos="2508"/>
        </w:tabs>
        <w:ind w:left="2508" w:hanging="1080"/>
      </w:pPr>
      <w:rPr>
        <w:rFonts w:hint="default"/>
        <w:b/>
        <w:u w:val="none"/>
      </w:rPr>
    </w:lvl>
    <w:lvl w:ilvl="5">
      <w:start w:val="1"/>
      <w:numFmt w:val="none"/>
      <w:pStyle w:val="Nagwek6"/>
      <w:isLgl/>
      <w:lvlText w:val=""/>
      <w:lvlJc w:val="left"/>
      <w:pPr>
        <w:tabs>
          <w:tab w:val="num" w:pos="2865"/>
        </w:tabs>
        <w:ind w:left="2865" w:hanging="1080"/>
      </w:pPr>
      <w:rPr>
        <w:rFonts w:hint="default"/>
        <w:b/>
        <w:u w:val="none"/>
      </w:rPr>
    </w:lvl>
    <w:lvl w:ilvl="6">
      <w:start w:val="1"/>
      <w:numFmt w:val="none"/>
      <w:pStyle w:val="Nagwek7"/>
      <w:isLgl/>
      <w:lvlText w:val=""/>
      <w:lvlJc w:val="left"/>
      <w:pPr>
        <w:tabs>
          <w:tab w:val="num" w:pos="3582"/>
        </w:tabs>
        <w:ind w:left="3582" w:hanging="1440"/>
      </w:pPr>
      <w:rPr>
        <w:rFonts w:hint="default"/>
        <w:b/>
        <w:u w:val="none"/>
      </w:rPr>
    </w:lvl>
    <w:lvl w:ilvl="7">
      <w:start w:val="1"/>
      <w:numFmt w:val="none"/>
      <w:pStyle w:val="Nagwek8"/>
      <w:isLgl/>
      <w:lvlText w:val=""/>
      <w:lvlJc w:val="left"/>
      <w:pPr>
        <w:tabs>
          <w:tab w:val="num" w:pos="3939"/>
        </w:tabs>
        <w:ind w:left="3939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56"/>
        </w:tabs>
        <w:ind w:left="4656" w:hanging="1800"/>
      </w:pPr>
      <w:rPr>
        <w:rFonts w:hint="default"/>
        <w:b/>
        <w:u w:val="none"/>
      </w:rPr>
    </w:lvl>
  </w:abstractNum>
  <w:abstractNum w:abstractNumId="1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1D2DBE"/>
    <w:rsid w:val="0066198E"/>
    <w:rsid w:val="00665A20"/>
    <w:rsid w:val="007D752D"/>
    <w:rsid w:val="00950EB6"/>
    <w:rsid w:val="00AD3C15"/>
    <w:rsid w:val="00DF7469"/>
    <w:rsid w:val="00E039B1"/>
    <w:rsid w:val="00E2476A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EB6"/>
    <w:rPr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E2476A"/>
    <w:pPr>
      <w:keepNext/>
      <w:numPr>
        <w:ilvl w:val="3"/>
        <w:numId w:val="5"/>
      </w:numPr>
      <w:jc w:val="center"/>
      <w:outlineLvl w:val="3"/>
    </w:pPr>
    <w:rPr>
      <w:b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E2476A"/>
    <w:pPr>
      <w:keepNext/>
      <w:numPr>
        <w:ilvl w:val="4"/>
        <w:numId w:val="5"/>
      </w:numPr>
      <w:jc w:val="center"/>
      <w:outlineLvl w:val="4"/>
    </w:pPr>
    <w:rPr>
      <w:b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E2476A"/>
    <w:pPr>
      <w:keepNext/>
      <w:numPr>
        <w:ilvl w:val="5"/>
        <w:numId w:val="5"/>
      </w:numPr>
      <w:jc w:val="center"/>
      <w:outlineLvl w:val="5"/>
    </w:pPr>
    <w:rPr>
      <w:b/>
      <w:sz w:val="28"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E2476A"/>
    <w:pPr>
      <w:keepNext/>
      <w:numPr>
        <w:ilvl w:val="6"/>
        <w:numId w:val="5"/>
      </w:numPr>
      <w:outlineLvl w:val="6"/>
    </w:pPr>
    <w:rPr>
      <w:b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E2476A"/>
    <w:pPr>
      <w:keepNext/>
      <w:numPr>
        <w:ilvl w:val="7"/>
        <w:numId w:val="5"/>
      </w:numPr>
      <w:jc w:val="both"/>
      <w:outlineLvl w:val="7"/>
    </w:pPr>
    <w:rPr>
      <w:b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950EB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950EB6"/>
    <w:rPr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2476A"/>
    <w:rPr>
      <w:b/>
      <w:sz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E2476A"/>
    <w:rPr>
      <w:b/>
      <w:sz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E2476A"/>
    <w:rPr>
      <w:b/>
      <w:sz w:val="28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E2476A"/>
    <w:rPr>
      <w:b/>
      <w:sz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E2476A"/>
    <w:rPr>
      <w:b/>
      <w:sz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2440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7</cp:revision>
  <dcterms:created xsi:type="dcterms:W3CDTF">2025-07-30T09:45:00Z</dcterms:created>
  <dcterms:modified xsi:type="dcterms:W3CDTF">2025-10-27T13:13:00Z</dcterms:modified>
</cp:coreProperties>
</file>